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C208" w14:textId="77777777" w:rsidR="00CB1636" w:rsidRDefault="00997328" w:rsidP="00997328">
      <w:pPr>
        <w:rPr>
          <w:b/>
          <w:bCs/>
          <w:color w:val="0070C0"/>
        </w:rPr>
      </w:pPr>
      <w:r w:rsidRPr="00997328">
        <w:rPr>
          <w:b/>
          <w:bCs/>
          <w:color w:val="0070C0"/>
        </w:rPr>
        <w:t xml:space="preserve">Pytania do egzaminu dyplomowego </w:t>
      </w:r>
    </w:p>
    <w:p w14:paraId="2847E176" w14:textId="46CB7942" w:rsidR="00997328" w:rsidRPr="00997328" w:rsidRDefault="00997328" w:rsidP="00997328">
      <w:pPr>
        <w:rPr>
          <w:b/>
          <w:bCs/>
          <w:color w:val="0070C0"/>
        </w:rPr>
      </w:pPr>
      <w:r w:rsidRPr="00997328">
        <w:rPr>
          <w:b/>
          <w:bCs/>
          <w:color w:val="0070C0"/>
        </w:rPr>
        <w:t>Studia II stopnia</w:t>
      </w:r>
    </w:p>
    <w:p w14:paraId="47B727D5" w14:textId="3AA160E5" w:rsidR="00997328" w:rsidRPr="00997328" w:rsidRDefault="00997328" w:rsidP="00997328">
      <w:pPr>
        <w:rPr>
          <w:b/>
          <w:bCs/>
          <w:color w:val="0070C0"/>
        </w:rPr>
      </w:pPr>
      <w:r w:rsidRPr="00997328">
        <w:rPr>
          <w:b/>
          <w:bCs/>
          <w:color w:val="0070C0"/>
        </w:rPr>
        <w:t xml:space="preserve">Specjalność: </w:t>
      </w:r>
      <w:r w:rsidRPr="00997328">
        <w:rPr>
          <w:b/>
          <w:bCs/>
          <w:color w:val="0070C0"/>
        </w:rPr>
        <w:t>BANKOWOŚĆ: EUROPEJSKI CERTYFIKAT BANKOWCA</w:t>
      </w:r>
    </w:p>
    <w:p w14:paraId="45B17FE7" w14:textId="77777777" w:rsidR="00997328" w:rsidRDefault="00997328" w:rsidP="00997328"/>
    <w:p w14:paraId="3D2CDD2A" w14:textId="77777777" w:rsidR="00997328" w:rsidRDefault="00997328" w:rsidP="00997328">
      <w:r>
        <w:t xml:space="preserve">1. Wpływ globalizacji na ewolucję rynków finansowych </w:t>
      </w:r>
    </w:p>
    <w:p w14:paraId="54249866" w14:textId="77777777" w:rsidR="00997328" w:rsidRDefault="00997328" w:rsidP="00997328">
      <w:r>
        <w:t xml:space="preserve">2. Współczesne cykle koniunkturalne i ich związek z globalizacją </w:t>
      </w:r>
    </w:p>
    <w:p w14:paraId="1EC89078" w14:textId="77777777" w:rsidR="00997328" w:rsidRDefault="00997328" w:rsidP="00997328">
      <w:r>
        <w:t xml:space="preserve">3. Instytucjonalna sieć bezpieczeństwa na rynku bankowym </w:t>
      </w:r>
    </w:p>
    <w:p w14:paraId="6A538B77" w14:textId="77777777" w:rsidR="00997328" w:rsidRDefault="00997328" w:rsidP="00997328">
      <w:r>
        <w:t xml:space="preserve">4. Struktura bilansu i rachunku zysków i strat banku </w:t>
      </w:r>
    </w:p>
    <w:p w14:paraId="64D012E5" w14:textId="77777777" w:rsidR="00997328" w:rsidRDefault="00997328" w:rsidP="00997328">
      <w:r>
        <w:t xml:space="preserve">5. Przyczyny kryzysów bankowych </w:t>
      </w:r>
    </w:p>
    <w:p w14:paraId="30236F98" w14:textId="77777777" w:rsidR="00997328" w:rsidRDefault="00997328" w:rsidP="00997328">
      <w:r>
        <w:t xml:space="preserve">6. Globalny kryzys finansowy lat 2007-2009: przebieg i skutki </w:t>
      </w:r>
    </w:p>
    <w:p w14:paraId="0519473B" w14:textId="77777777" w:rsidR="00997328" w:rsidRDefault="00997328" w:rsidP="00997328">
      <w:r>
        <w:t xml:space="preserve">7. Formy restrukturyzacji banków po kryzysie 2007-2009 w Unii Europejskiej </w:t>
      </w:r>
    </w:p>
    <w:p w14:paraId="47EADB81" w14:textId="77777777" w:rsidR="00997328" w:rsidRDefault="00997328" w:rsidP="00997328">
      <w:r>
        <w:t xml:space="preserve">8. Założenia dyrektywy o przymusowej restrukturyzacji i uporządkowanej likwidacji banków (BRRD) </w:t>
      </w:r>
    </w:p>
    <w:p w14:paraId="7F8A53FC" w14:textId="77777777" w:rsidR="00997328" w:rsidRDefault="00997328" w:rsidP="00997328">
      <w:r>
        <w:t xml:space="preserve">9. Zadania Bankowego Funduszu Gwarancyjnego w zakresie przymusowej restrukturyzacji i uporządkowanej likwidacji banków </w:t>
      </w:r>
    </w:p>
    <w:p w14:paraId="376E427A" w14:textId="77777777" w:rsidR="00997328" w:rsidRDefault="00997328" w:rsidP="00997328">
      <w:r>
        <w:t xml:space="preserve">10. Charakterystyka podstawowych metod wyceny aktywów i zobowiązań finansowych </w:t>
      </w:r>
    </w:p>
    <w:p w14:paraId="3F04DF34" w14:textId="77777777" w:rsidR="00997328" w:rsidRDefault="00997328" w:rsidP="00997328">
      <w:r>
        <w:t xml:space="preserve">11. Model E. Altmana jako narzędzie do oceny ryzyka i prognozowania upadłości przedsiębiorstw </w:t>
      </w:r>
    </w:p>
    <w:p w14:paraId="7795F5AB" w14:textId="77777777" w:rsidR="00997328" w:rsidRDefault="00997328" w:rsidP="00997328">
      <w:r>
        <w:t xml:space="preserve">12. Wskaźniki stabilności rynku bankowego </w:t>
      </w:r>
    </w:p>
    <w:p w14:paraId="1AE9EE9B" w14:textId="77777777" w:rsidR="00997328" w:rsidRDefault="00997328" w:rsidP="00997328">
      <w:r>
        <w:t xml:space="preserve">13. Podstawowe pozycje przychodów i kosztów funduszu inwestycyjnego </w:t>
      </w:r>
    </w:p>
    <w:p w14:paraId="386E1DA9" w14:textId="77777777" w:rsidR="00997328" w:rsidRDefault="00997328" w:rsidP="00997328">
      <w:r>
        <w:t xml:space="preserve">14. Efektywny portfel według teorii Markowitza </w:t>
      </w:r>
    </w:p>
    <w:p w14:paraId="5FF0086C" w14:textId="77777777" w:rsidR="00997328" w:rsidRDefault="00997328" w:rsidP="00997328">
      <w:r>
        <w:t xml:space="preserve">15. Ocena efektywności inwestycji w </w:t>
      </w:r>
      <w:proofErr w:type="spellStart"/>
      <w:r>
        <w:t>cyberbezpieczeństwo</w:t>
      </w:r>
      <w:proofErr w:type="spellEnd"/>
      <w:r>
        <w:t xml:space="preserve"> </w:t>
      </w:r>
    </w:p>
    <w:p w14:paraId="49EAC28D" w14:textId="77777777" w:rsidR="00997328" w:rsidRDefault="00997328" w:rsidP="00997328">
      <w:r>
        <w:t xml:space="preserve">16. Organizacja Krajowego Systemu </w:t>
      </w:r>
      <w:proofErr w:type="spellStart"/>
      <w:r>
        <w:t>Cyberbezpieczeństwa</w:t>
      </w:r>
      <w:proofErr w:type="spellEnd"/>
      <w:r>
        <w:t xml:space="preserve"> </w:t>
      </w:r>
    </w:p>
    <w:p w14:paraId="19E53C1C" w14:textId="77777777" w:rsidR="00997328" w:rsidRDefault="00997328" w:rsidP="00997328">
      <w:r>
        <w:t xml:space="preserve">17. Podstawowe modele biznesowe w bankowości komercyjnej </w:t>
      </w:r>
    </w:p>
    <w:p w14:paraId="48893F3C" w14:textId="77777777" w:rsidR="00997328" w:rsidRDefault="00997328" w:rsidP="00997328">
      <w:r>
        <w:t xml:space="preserve">18. Rola innowacji finansowych w bankowości </w:t>
      </w:r>
    </w:p>
    <w:p w14:paraId="796EC36F" w14:textId="77777777" w:rsidR="00997328" w:rsidRDefault="00997328" w:rsidP="00997328">
      <w:r>
        <w:t xml:space="preserve">19. Technologia </w:t>
      </w:r>
      <w:proofErr w:type="spellStart"/>
      <w:r>
        <w:t>blockchain</w:t>
      </w:r>
      <w:proofErr w:type="spellEnd"/>
      <w:r>
        <w:t xml:space="preserve"> w finansach </w:t>
      </w:r>
    </w:p>
    <w:p w14:paraId="74D0CDF2" w14:textId="77777777" w:rsidR="00997328" w:rsidRDefault="00997328" w:rsidP="00997328">
      <w:r>
        <w:t>20. N</w:t>
      </w:r>
      <w:proofErr w:type="spellStart"/>
      <w:r>
        <w:t>eobanki</w:t>
      </w:r>
      <w:proofErr w:type="spellEnd"/>
      <w:r>
        <w:t xml:space="preserve"> i </w:t>
      </w:r>
      <w:proofErr w:type="spellStart"/>
      <w:r>
        <w:t>FinTechy</w:t>
      </w:r>
      <w:proofErr w:type="spellEnd"/>
      <w:r>
        <w:t xml:space="preserve"> - charakterystyka </w:t>
      </w:r>
    </w:p>
    <w:p w14:paraId="1A230A12" w14:textId="77777777" w:rsidR="00997328" w:rsidRDefault="00997328" w:rsidP="00997328">
      <w:r>
        <w:t xml:space="preserve">21. Pieniądz cyfrowy – rola i podejście banków centralnych </w:t>
      </w:r>
    </w:p>
    <w:p w14:paraId="143DE127" w14:textId="77777777" w:rsidR="00997328" w:rsidRDefault="00997328" w:rsidP="00997328">
      <w:r>
        <w:t>22. Prawna i instytucjonalna ochrona konsumenta usług bankowych w Polsce</w:t>
      </w:r>
    </w:p>
    <w:p w14:paraId="5F8F6641" w14:textId="77777777" w:rsidR="00997328" w:rsidRDefault="00997328" w:rsidP="00997328">
      <w:r>
        <w:t xml:space="preserve">23. Klasyfikacja nieuczciwych praktyk rynkowych i ich odniesienie do klauzuli generalnej </w:t>
      </w:r>
    </w:p>
    <w:p w14:paraId="4C85661B" w14:textId="77777777" w:rsidR="00997328" w:rsidRDefault="00997328" w:rsidP="00997328">
      <w:r>
        <w:t xml:space="preserve">24. Ostrzeżenia publiczne KNF </w:t>
      </w:r>
    </w:p>
    <w:p w14:paraId="68A124A9" w14:textId="1B52A4B5" w:rsidR="00997328" w:rsidRDefault="00997328" w:rsidP="00997328">
      <w:r>
        <w:t xml:space="preserve">25. Zasady przyznawania licencji bankowych spółkom z sektora </w:t>
      </w:r>
      <w:proofErr w:type="spellStart"/>
      <w:r>
        <w:t>FinTech</w:t>
      </w:r>
      <w:proofErr w:type="spellEnd"/>
    </w:p>
    <w:p w14:paraId="1DADF4D7" w14:textId="77777777" w:rsidR="00997328" w:rsidRDefault="00997328" w:rsidP="00997328">
      <w:r>
        <w:t xml:space="preserve">26. </w:t>
      </w:r>
      <w:proofErr w:type="spellStart"/>
      <w:r>
        <w:t>Innovation</w:t>
      </w:r>
      <w:proofErr w:type="spellEnd"/>
      <w:r>
        <w:t xml:space="preserve"> hub i piaskownice regulacyjne jako platforma współpracy banków i </w:t>
      </w:r>
      <w:proofErr w:type="spellStart"/>
      <w:r>
        <w:t>FinTechów</w:t>
      </w:r>
      <w:proofErr w:type="spellEnd"/>
      <w:r>
        <w:t xml:space="preserve"> </w:t>
      </w:r>
    </w:p>
    <w:p w14:paraId="6F39B454" w14:textId="77777777" w:rsidR="00997328" w:rsidRDefault="00997328" w:rsidP="00997328">
      <w:r>
        <w:t xml:space="preserve">27. Rola, istota i podział bankowości elektronicznej </w:t>
      </w:r>
    </w:p>
    <w:p w14:paraId="09085B76" w14:textId="3596A4B6" w:rsidR="00997328" w:rsidRDefault="00997328" w:rsidP="00997328">
      <w:r>
        <w:t>28. Alternatywne metody rozstrzygania sporów z konsumentami na rynku finansowym</w:t>
      </w:r>
    </w:p>
    <w:p w14:paraId="7829CAC3" w14:textId="77777777" w:rsidR="00997328" w:rsidRDefault="00997328" w:rsidP="00997328">
      <w:r>
        <w:t xml:space="preserve">29. Bankowość inwestycyjna na świecie </w:t>
      </w:r>
    </w:p>
    <w:p w14:paraId="1B461348" w14:textId="13C7EF08" w:rsidR="0084789E" w:rsidRDefault="00997328" w:rsidP="00997328">
      <w:r>
        <w:t>30. Kryteria wyodrębnienia banków o znaczeniu systemowym</w:t>
      </w:r>
    </w:p>
    <w:sectPr w:rsidR="0084789E" w:rsidSect="00A93C22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6B"/>
    <w:rsid w:val="00516FA8"/>
    <w:rsid w:val="005D466B"/>
    <w:rsid w:val="0084789E"/>
    <w:rsid w:val="00997328"/>
    <w:rsid w:val="00A93C22"/>
    <w:rsid w:val="00C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D6B8"/>
  <w15:chartTrackingRefBased/>
  <w15:docId w15:val="{9E827F55-6774-4C39-95F3-3C81CECE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FA8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Boda</dc:creator>
  <cp:keywords/>
  <dc:description/>
  <cp:lastModifiedBy>Michał Boda</cp:lastModifiedBy>
  <cp:revision>3</cp:revision>
  <dcterms:created xsi:type="dcterms:W3CDTF">2024-03-12T15:02:00Z</dcterms:created>
  <dcterms:modified xsi:type="dcterms:W3CDTF">2024-03-12T15:04:00Z</dcterms:modified>
</cp:coreProperties>
</file>