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C208" w14:textId="77777777" w:rsidR="00CB1636" w:rsidRDefault="00997328" w:rsidP="00997328">
      <w:pPr>
        <w:rPr>
          <w:b/>
          <w:bCs/>
          <w:color w:val="0070C0"/>
        </w:rPr>
      </w:pPr>
      <w:r w:rsidRPr="00997328">
        <w:rPr>
          <w:b/>
          <w:bCs/>
          <w:color w:val="0070C0"/>
        </w:rPr>
        <w:t xml:space="preserve">Pytania do egzaminu dyplomowego </w:t>
      </w:r>
    </w:p>
    <w:p w14:paraId="2847E176" w14:textId="53B83424" w:rsidR="00997328" w:rsidRPr="00997328" w:rsidRDefault="00997328" w:rsidP="00997328">
      <w:pPr>
        <w:rPr>
          <w:b/>
          <w:bCs/>
          <w:color w:val="0070C0"/>
        </w:rPr>
      </w:pPr>
      <w:r w:rsidRPr="00997328">
        <w:rPr>
          <w:b/>
          <w:bCs/>
          <w:color w:val="0070C0"/>
        </w:rPr>
        <w:t>Studia II stopnia</w:t>
      </w:r>
      <w:r w:rsidR="00684548">
        <w:rPr>
          <w:b/>
          <w:bCs/>
          <w:color w:val="0070C0"/>
        </w:rPr>
        <w:t xml:space="preserve"> kierunek Bankowość i zarządzanie ryzykiem</w:t>
      </w:r>
    </w:p>
    <w:p w14:paraId="47B727D5" w14:textId="3AA160E5" w:rsidR="00997328" w:rsidRPr="00997328" w:rsidRDefault="00997328" w:rsidP="00997328">
      <w:pPr>
        <w:rPr>
          <w:b/>
          <w:bCs/>
          <w:color w:val="0070C0"/>
        </w:rPr>
      </w:pPr>
      <w:r w:rsidRPr="00997328">
        <w:rPr>
          <w:b/>
          <w:bCs/>
          <w:color w:val="0070C0"/>
        </w:rPr>
        <w:t>Specjalność: BANKOWOŚĆ: EUROPEJSKI CERTYFIKAT BANKOWCA</w:t>
      </w:r>
    </w:p>
    <w:p w14:paraId="1EC89078" w14:textId="41ECE729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Instytucjonalna sieć bezpieczeństwa na rynku bankowym </w:t>
      </w:r>
    </w:p>
    <w:p w14:paraId="6A538B77" w14:textId="24AE51CE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Struktura bilansu i rachunku zysków i strat banku </w:t>
      </w:r>
    </w:p>
    <w:p w14:paraId="64D012E5" w14:textId="17857337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Przyczyny kryzysów bankowych </w:t>
      </w:r>
    </w:p>
    <w:p w14:paraId="30236F98" w14:textId="776DF744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Globalny kryzys finansowy lat 2007-2009: przebieg i skutki </w:t>
      </w:r>
    </w:p>
    <w:p w14:paraId="0519473B" w14:textId="267DBC60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Formy restrukturyzacji banków po kryzysie 2007-2009 w Unii Europejskiej </w:t>
      </w:r>
    </w:p>
    <w:p w14:paraId="47EADB81" w14:textId="603C9B93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Założenia dyrektywy o przymusowej restrukturyzacji i uporządkowanej likwidacji banków (BRRD) </w:t>
      </w:r>
    </w:p>
    <w:p w14:paraId="7F8A53FC" w14:textId="465F42AA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Zadania Bankowego Funduszu Gwarancyjnego w zakresie przymusowej restrukturyzacji i uporządkowanej likwidacji banków </w:t>
      </w:r>
    </w:p>
    <w:p w14:paraId="376E427A" w14:textId="795C681A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Charakterystyka podstawowych metod wyceny aktywów i zobowiązań finansowych </w:t>
      </w:r>
    </w:p>
    <w:p w14:paraId="3F04DF34" w14:textId="2AF9671E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Model E. Altmana jako narzędzie do oceny ryzyka i prognozowania upadłości przedsiębiorstw </w:t>
      </w:r>
    </w:p>
    <w:p w14:paraId="7795F5AB" w14:textId="1EBAAA8F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 Wskaźniki stabilności rynku bankowego </w:t>
      </w:r>
    </w:p>
    <w:p w14:paraId="5FF0086C" w14:textId="33CF948C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Ocena efektywności inwestycji w cyberbezpieczeństwo </w:t>
      </w:r>
    </w:p>
    <w:p w14:paraId="49EAC28D" w14:textId="6C8871DC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Organizacja Krajowego Systemu Cyberbezpieczeństwa </w:t>
      </w:r>
    </w:p>
    <w:p w14:paraId="19E53C1C" w14:textId="190E5C35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Podstawowe modele biznesowe w bankowości komercyjnej </w:t>
      </w:r>
    </w:p>
    <w:p w14:paraId="48893F3C" w14:textId="574E508F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Rola innowacji finansowych w bankowości </w:t>
      </w:r>
    </w:p>
    <w:p w14:paraId="1A230A12" w14:textId="709CD727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Pieniądz cyfrowy – rola i podejście banków centralnych </w:t>
      </w:r>
    </w:p>
    <w:p w14:paraId="143DE127" w14:textId="4F1660B4" w:rsidR="00997328" w:rsidRDefault="00997328" w:rsidP="00684548">
      <w:pPr>
        <w:pStyle w:val="Akapitzlist"/>
        <w:numPr>
          <w:ilvl w:val="0"/>
          <w:numId w:val="3"/>
        </w:numPr>
      </w:pPr>
      <w:r>
        <w:t>Prawna i instytucjonalna ochrona konsumenta usług bankowych w Polsce</w:t>
      </w:r>
    </w:p>
    <w:p w14:paraId="5F8F6641" w14:textId="0943DCBC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Klasyfikacja nieuczciwych praktyk rynkowych i ich odniesienie do klauzuli generalnej </w:t>
      </w:r>
    </w:p>
    <w:p w14:paraId="4C85661B" w14:textId="706363DA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Ostrzeżenia publiczne KNF </w:t>
      </w:r>
    </w:p>
    <w:p w14:paraId="68A124A9" w14:textId="05BB07F0" w:rsidR="00997328" w:rsidRDefault="00997328" w:rsidP="00684548">
      <w:pPr>
        <w:pStyle w:val="Akapitzlist"/>
        <w:numPr>
          <w:ilvl w:val="0"/>
          <w:numId w:val="3"/>
        </w:numPr>
      </w:pPr>
      <w:r>
        <w:t>Zasady przyznawania licencji bankowych spółkom z sektora FinTech</w:t>
      </w:r>
    </w:p>
    <w:p w14:paraId="1DADF4D7" w14:textId="374CAD90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Innovation hub i piaskownice regulacyjne jako platforma współpracy banków i FinTechów </w:t>
      </w:r>
    </w:p>
    <w:p w14:paraId="6F39B454" w14:textId="300DB21C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Rola, istota i podział bankowości elektronicznej </w:t>
      </w:r>
    </w:p>
    <w:p w14:paraId="09085B76" w14:textId="2EB0D988" w:rsidR="00997328" w:rsidRDefault="00997328" w:rsidP="00684548">
      <w:pPr>
        <w:pStyle w:val="Akapitzlist"/>
        <w:numPr>
          <w:ilvl w:val="0"/>
          <w:numId w:val="3"/>
        </w:numPr>
      </w:pPr>
      <w:r>
        <w:t>Alternatywne metody rozstrzygania sporów z konsumentami na rynku finansowym</w:t>
      </w:r>
    </w:p>
    <w:p w14:paraId="7829CAC3" w14:textId="160EA6CF" w:rsidR="00997328" w:rsidRDefault="00997328" w:rsidP="00684548">
      <w:pPr>
        <w:pStyle w:val="Akapitzlist"/>
        <w:numPr>
          <w:ilvl w:val="0"/>
          <w:numId w:val="3"/>
        </w:numPr>
      </w:pPr>
      <w:r>
        <w:t xml:space="preserve">Bankowość inwestycyjna na świecie </w:t>
      </w:r>
    </w:p>
    <w:p w14:paraId="1B461348" w14:textId="06B4C46D" w:rsidR="0084789E" w:rsidRPr="00684548" w:rsidRDefault="00997328" w:rsidP="00684548">
      <w:pPr>
        <w:pStyle w:val="Akapitzlist"/>
        <w:numPr>
          <w:ilvl w:val="0"/>
          <w:numId w:val="3"/>
        </w:numPr>
      </w:pPr>
      <w:r w:rsidRPr="00684548">
        <w:t>Kryteria wyodrębnienia banków o znaczeniu systemowym</w:t>
      </w:r>
    </w:p>
    <w:p w14:paraId="5E1640FF" w14:textId="00D20AF4" w:rsidR="00587966" w:rsidRPr="00684548" w:rsidRDefault="005D0C15" w:rsidP="00684548">
      <w:pPr>
        <w:pStyle w:val="Akapitzlist"/>
        <w:numPr>
          <w:ilvl w:val="0"/>
          <w:numId w:val="3"/>
        </w:numPr>
      </w:pPr>
      <w:r w:rsidRPr="00684548">
        <w:t>Integracja monetarna w UE</w:t>
      </w:r>
    </w:p>
    <w:p w14:paraId="7C0EBD01" w14:textId="77777777" w:rsidR="00587966" w:rsidRPr="00684548" w:rsidRDefault="00587966" w:rsidP="00684548">
      <w:pPr>
        <w:pStyle w:val="Akapitzlist"/>
        <w:numPr>
          <w:ilvl w:val="0"/>
          <w:numId w:val="3"/>
        </w:numPr>
      </w:pPr>
      <w:r w:rsidRPr="00684548">
        <w:t>Unia Europejska i Europejska Unia Monetarna – podobieństwa, różnice, zasady uczestnictwa</w:t>
      </w:r>
    </w:p>
    <w:p w14:paraId="520FA6CA" w14:textId="77777777" w:rsidR="00587966" w:rsidRPr="00684548" w:rsidRDefault="00587966" w:rsidP="00684548">
      <w:pPr>
        <w:pStyle w:val="Akapitzlist"/>
        <w:numPr>
          <w:ilvl w:val="0"/>
          <w:numId w:val="3"/>
        </w:numPr>
      </w:pPr>
      <w:r w:rsidRPr="00684548">
        <w:t>Europejski Bank Centralny i Europejski System Banków Centralnych: podstawy prawne, organy, zadania, zasady podejmowania decyzji</w:t>
      </w:r>
    </w:p>
    <w:p w14:paraId="667667F5" w14:textId="54DA3427" w:rsidR="00587966" w:rsidRPr="00684548" w:rsidRDefault="00587966" w:rsidP="00684548">
      <w:pPr>
        <w:pStyle w:val="Akapitzlist"/>
        <w:numPr>
          <w:ilvl w:val="0"/>
          <w:numId w:val="3"/>
        </w:numPr>
      </w:pPr>
      <w:r w:rsidRPr="00684548">
        <w:t>Strategia polityki pieniężnej Eurosystemu</w:t>
      </w:r>
    </w:p>
    <w:p w14:paraId="584566AA" w14:textId="6D864EC5" w:rsidR="005D0C15" w:rsidRPr="00684548" w:rsidRDefault="005D0C15" w:rsidP="00684548">
      <w:pPr>
        <w:pStyle w:val="Akapitzlist"/>
        <w:numPr>
          <w:ilvl w:val="0"/>
          <w:numId w:val="3"/>
        </w:numPr>
      </w:pPr>
      <w:r w:rsidRPr="00684548">
        <w:t>Zasady funkcjonowania i rodzaje kryptowalut</w:t>
      </w:r>
    </w:p>
    <w:p w14:paraId="1F643D56" w14:textId="70A6FDBC" w:rsidR="005D0C15" w:rsidRPr="00684548" w:rsidRDefault="005D0C15" w:rsidP="00684548">
      <w:pPr>
        <w:pStyle w:val="Akapitzlist"/>
        <w:numPr>
          <w:ilvl w:val="0"/>
          <w:numId w:val="3"/>
        </w:numPr>
      </w:pPr>
      <w:r w:rsidRPr="00684548">
        <w:t>Neobanki, challenger banki i FinTechy – podział i charakterystyka</w:t>
      </w:r>
    </w:p>
    <w:p w14:paraId="471F703C" w14:textId="77777777" w:rsidR="00587966" w:rsidRDefault="00587966" w:rsidP="00997328"/>
    <w:sectPr w:rsidR="00587966" w:rsidSect="00A93C22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BFE"/>
    <w:multiLevelType w:val="hybridMultilevel"/>
    <w:tmpl w:val="4EAA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297F"/>
    <w:multiLevelType w:val="hybridMultilevel"/>
    <w:tmpl w:val="807C8ED2"/>
    <w:lvl w:ilvl="0" w:tplc="0415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F8698C"/>
    <w:multiLevelType w:val="hybridMultilevel"/>
    <w:tmpl w:val="CE38E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362493">
    <w:abstractNumId w:val="2"/>
  </w:num>
  <w:num w:numId="2" w16cid:durableId="307056673">
    <w:abstractNumId w:val="1"/>
  </w:num>
  <w:num w:numId="3" w16cid:durableId="19648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6B"/>
    <w:rsid w:val="004025E6"/>
    <w:rsid w:val="00516FA8"/>
    <w:rsid w:val="00587966"/>
    <w:rsid w:val="005D0C15"/>
    <w:rsid w:val="005D466B"/>
    <w:rsid w:val="00626EB9"/>
    <w:rsid w:val="00671518"/>
    <w:rsid w:val="00684548"/>
    <w:rsid w:val="007369EB"/>
    <w:rsid w:val="0084789E"/>
    <w:rsid w:val="00997328"/>
    <w:rsid w:val="009C5E96"/>
    <w:rsid w:val="00A93C22"/>
    <w:rsid w:val="00BA563E"/>
    <w:rsid w:val="00C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D6B8"/>
  <w15:chartTrackingRefBased/>
  <w15:docId w15:val="{9E827F55-6774-4C39-95F3-3C81CEC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FA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Boda</dc:creator>
  <cp:keywords/>
  <dc:description/>
  <cp:lastModifiedBy>Mateusz Folwarski</cp:lastModifiedBy>
  <cp:revision>9</cp:revision>
  <dcterms:created xsi:type="dcterms:W3CDTF">2024-03-12T15:02:00Z</dcterms:created>
  <dcterms:modified xsi:type="dcterms:W3CDTF">2025-02-24T15:50:00Z</dcterms:modified>
</cp:coreProperties>
</file>