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4D154" w14:textId="4F5BC7E6" w:rsidR="00FD2E89" w:rsidRPr="00FA1BAB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BAB">
        <w:rPr>
          <w:rFonts w:ascii="Times New Roman" w:hAnsi="Times New Roman" w:cs="Times New Roman"/>
          <w:b/>
          <w:bCs/>
          <w:sz w:val="28"/>
          <w:szCs w:val="28"/>
        </w:rPr>
        <w:t>Instytut Finansów</w:t>
      </w:r>
    </w:p>
    <w:p w14:paraId="0C5DB415" w14:textId="09178131" w:rsidR="00BA7EDA" w:rsidRPr="00FA1BAB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BAB">
        <w:rPr>
          <w:rFonts w:ascii="Times New Roman" w:hAnsi="Times New Roman" w:cs="Times New Roman"/>
          <w:b/>
          <w:bCs/>
          <w:sz w:val="28"/>
          <w:szCs w:val="28"/>
        </w:rPr>
        <w:t>Kierunek: Finanse i rachunkowość, stopień I</w:t>
      </w:r>
    </w:p>
    <w:p w14:paraId="2A649E6E" w14:textId="19F12114" w:rsidR="00BA7EDA" w:rsidRPr="00FA1BAB" w:rsidRDefault="00BA7EDA" w:rsidP="00BA7EDA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BAB">
        <w:rPr>
          <w:rFonts w:ascii="Times New Roman" w:hAnsi="Times New Roman" w:cs="Times New Roman"/>
          <w:b/>
          <w:bCs/>
          <w:sz w:val="28"/>
          <w:szCs w:val="28"/>
        </w:rPr>
        <w:t>Specjalność: Bankowość</w:t>
      </w:r>
      <w:r w:rsidR="00FA1BAB">
        <w:rPr>
          <w:rFonts w:ascii="Times New Roman" w:hAnsi="Times New Roman" w:cs="Times New Roman"/>
          <w:b/>
          <w:bCs/>
          <w:sz w:val="28"/>
          <w:szCs w:val="28"/>
        </w:rPr>
        <w:t>, rynki finansowe i ubezpieczenia</w:t>
      </w:r>
    </w:p>
    <w:p w14:paraId="38126DD9" w14:textId="77777777" w:rsidR="00BA7EDA" w:rsidRPr="00FA1BAB" w:rsidRDefault="00BA7EDA" w:rsidP="00BA7EDA">
      <w:pPr>
        <w:spacing w:after="0" w:line="240" w:lineRule="auto"/>
        <w:ind w:left="714" w:hanging="357"/>
        <w:rPr>
          <w:rFonts w:ascii="Times New Roman" w:hAnsi="Times New Roman" w:cs="Times New Roman"/>
        </w:rPr>
      </w:pPr>
    </w:p>
    <w:p w14:paraId="7079B765" w14:textId="77777777" w:rsidR="007A2BC6" w:rsidRPr="00FA1BAB" w:rsidRDefault="007A2BC6" w:rsidP="00BA7EDA">
      <w:pPr>
        <w:spacing w:after="0" w:line="240" w:lineRule="auto"/>
        <w:ind w:left="714" w:hanging="357"/>
        <w:rPr>
          <w:rFonts w:ascii="Times New Roman" w:hAnsi="Times New Roman" w:cs="Times New Roman"/>
        </w:rPr>
      </w:pPr>
    </w:p>
    <w:p w14:paraId="61D6D94E" w14:textId="77777777" w:rsidR="001A23A3" w:rsidRPr="00FA1BAB" w:rsidRDefault="001A23A3" w:rsidP="001A23A3">
      <w:pPr>
        <w:pStyle w:val="Akapitzlist"/>
        <w:rPr>
          <w:rFonts w:ascii="Times New Roman" w:hAnsi="Times New Roman" w:cs="Times New Roman"/>
        </w:rPr>
      </w:pPr>
    </w:p>
    <w:p w14:paraId="3B63F8EC" w14:textId="18641FD7" w:rsidR="001043A6" w:rsidRPr="00647BDD" w:rsidRDefault="00666A7D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trike/>
        </w:rPr>
      </w:pPr>
      <w:r w:rsidRPr="00647BDD">
        <w:rPr>
          <w:rFonts w:ascii="Times New Roman" w:hAnsi="Times New Roman" w:cs="Times New Roman"/>
        </w:rPr>
        <w:t>P</w:t>
      </w:r>
      <w:r w:rsidR="001043A6" w:rsidRPr="00647BDD">
        <w:rPr>
          <w:rFonts w:ascii="Times New Roman" w:hAnsi="Times New Roman" w:cs="Times New Roman"/>
        </w:rPr>
        <w:t xml:space="preserve">odstawowe typy crowdfundingu oraz różnice </w:t>
      </w:r>
      <w:r w:rsidR="00CA1391" w:rsidRPr="00647BDD">
        <w:rPr>
          <w:rFonts w:ascii="Times New Roman" w:hAnsi="Times New Roman" w:cs="Times New Roman"/>
        </w:rPr>
        <w:t xml:space="preserve">dotyczące </w:t>
      </w:r>
      <w:r w:rsidR="001043A6" w:rsidRPr="00647BDD">
        <w:rPr>
          <w:rFonts w:ascii="Times New Roman" w:hAnsi="Times New Roman" w:cs="Times New Roman"/>
        </w:rPr>
        <w:t xml:space="preserve">inicjatorów, fundatorów i platform </w:t>
      </w:r>
    </w:p>
    <w:p w14:paraId="4C88ECB5" w14:textId="77777777" w:rsidR="001A23A3" w:rsidRPr="00647BDD" w:rsidRDefault="001A23A3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 xml:space="preserve">Dyrektywa PSD2 i  funkcjonowanie rynku </w:t>
      </w:r>
      <w:r w:rsidR="001043A6" w:rsidRPr="00647BDD">
        <w:rPr>
          <w:rFonts w:ascii="Times New Roman" w:hAnsi="Times New Roman" w:cs="Times New Roman"/>
        </w:rPr>
        <w:t xml:space="preserve">PAYTECH </w:t>
      </w:r>
    </w:p>
    <w:p w14:paraId="4282653E" w14:textId="64AAF4B6" w:rsidR="004C7720" w:rsidRPr="00647BDD" w:rsidRDefault="004C7720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Płatności odroczone (BNPL) w  świetle Dyrektywy o Kredycie Konsumenckim CCD i CCD2</w:t>
      </w:r>
    </w:p>
    <w:p w14:paraId="2DDF3535" w14:textId="77FCC910" w:rsidR="001A23A3" w:rsidRPr="00647BDD" w:rsidRDefault="001A23A3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Wymogi kapitałowe wobec banków w świetle dyrektywy CRD IV i V</w:t>
      </w:r>
    </w:p>
    <w:p w14:paraId="1B40F9A8" w14:textId="77777777" w:rsidR="006D523A" w:rsidRPr="00647BDD" w:rsidRDefault="006D523A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Rodzaje obligacji międzynarodowych i sposoby inwestowania w obligacje na międzynarodowym rynku finansowym</w:t>
      </w:r>
    </w:p>
    <w:p w14:paraId="26B66578" w14:textId="77777777" w:rsidR="006D523A" w:rsidRPr="00647BDD" w:rsidRDefault="006D523A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Teorie i rodzaje kursów walutowych</w:t>
      </w:r>
    </w:p>
    <w:p w14:paraId="7A2BC045" w14:textId="1701FDE1" w:rsidR="001C13E2" w:rsidRPr="00647BDD" w:rsidRDefault="00647BDD" w:rsidP="00CF4F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B7F26" w:rsidRPr="00647BDD">
        <w:rPr>
          <w:rFonts w:ascii="Times New Roman" w:hAnsi="Times New Roman" w:cs="Times New Roman"/>
        </w:rPr>
        <w:t>ajważniejsze s</w:t>
      </w:r>
      <w:r w:rsidR="001C13E2" w:rsidRPr="00647BDD">
        <w:rPr>
          <w:rFonts w:ascii="Times New Roman" w:hAnsi="Times New Roman" w:cs="Times New Roman"/>
        </w:rPr>
        <w:t>egmenty rynk</w:t>
      </w:r>
      <w:r w:rsidR="00F17437" w:rsidRPr="00647BDD">
        <w:rPr>
          <w:rFonts w:ascii="Times New Roman" w:hAnsi="Times New Roman" w:cs="Times New Roman"/>
        </w:rPr>
        <w:t>ów finansowych</w:t>
      </w:r>
    </w:p>
    <w:p w14:paraId="6B64E56A" w14:textId="54FFF375" w:rsidR="001E2927" w:rsidRPr="00647BDD" w:rsidRDefault="001E2927" w:rsidP="00CF4FD9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 xml:space="preserve">Główne wskaźniki referencyjne stóp procentowych w UE </w:t>
      </w:r>
    </w:p>
    <w:p w14:paraId="41E89871" w14:textId="77777777" w:rsidR="00BF66DD" w:rsidRPr="00647BDD" w:rsidRDefault="00BF66DD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Wycena instrumentów dłużnych o płatnościach stałych i płatnościach zmiennych</w:t>
      </w:r>
    </w:p>
    <w:p w14:paraId="4ECCAEDE" w14:textId="474CF685" w:rsidR="007A2BC6" w:rsidRPr="00647BDD" w:rsidRDefault="001A23A3" w:rsidP="007D468F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Modelowanie struktury terminowej stóp procentowych</w:t>
      </w:r>
    </w:p>
    <w:p w14:paraId="7F647CFA" w14:textId="77777777" w:rsidR="002A11CF" w:rsidRPr="00647BDD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P</w:t>
      </w:r>
      <w:r w:rsidR="00A33191" w:rsidRPr="00647BDD">
        <w:rPr>
          <w:rFonts w:ascii="Times New Roman" w:hAnsi="Times New Roman" w:cs="Times New Roman"/>
        </w:rPr>
        <w:t>odstawowe rodzaje inwestycji alternatywnych oraz ich rol</w:t>
      </w:r>
      <w:r w:rsidRPr="00647BDD">
        <w:rPr>
          <w:rFonts w:ascii="Times New Roman" w:hAnsi="Times New Roman" w:cs="Times New Roman"/>
        </w:rPr>
        <w:t>a</w:t>
      </w:r>
      <w:r w:rsidR="00A33191" w:rsidRPr="00647BDD">
        <w:rPr>
          <w:rFonts w:ascii="Times New Roman" w:hAnsi="Times New Roman" w:cs="Times New Roman"/>
        </w:rPr>
        <w:t xml:space="preserve"> w zarządzaniu portfelem inwestycyjnym</w:t>
      </w:r>
    </w:p>
    <w:p w14:paraId="19845876" w14:textId="1BDA8CA5" w:rsidR="00A33191" w:rsidRPr="00647BDD" w:rsidRDefault="002A11CF" w:rsidP="00CA1391">
      <w:pPr>
        <w:pStyle w:val="Akapitzlist"/>
        <w:numPr>
          <w:ilvl w:val="0"/>
          <w:numId w:val="7"/>
        </w:numPr>
        <w:spacing w:line="276" w:lineRule="auto"/>
        <w:ind w:left="643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T</w:t>
      </w:r>
      <w:r w:rsidR="00A33191" w:rsidRPr="00647BDD">
        <w:rPr>
          <w:rFonts w:ascii="Times New Roman" w:hAnsi="Times New Roman" w:cs="Times New Roman"/>
        </w:rPr>
        <w:t>eori</w:t>
      </w:r>
      <w:r w:rsidRPr="00647BDD">
        <w:rPr>
          <w:rFonts w:ascii="Times New Roman" w:hAnsi="Times New Roman" w:cs="Times New Roman"/>
        </w:rPr>
        <w:t>a</w:t>
      </w:r>
      <w:r w:rsidR="00A33191" w:rsidRPr="00647BDD">
        <w:rPr>
          <w:rFonts w:ascii="Times New Roman" w:hAnsi="Times New Roman" w:cs="Times New Roman"/>
        </w:rPr>
        <w:t xml:space="preserve"> użyteczności w kontekście optymalizacji portfela inwestycyjnego</w:t>
      </w:r>
    </w:p>
    <w:p w14:paraId="05426164" w14:textId="1D03CB8C" w:rsidR="00A33191" w:rsidRPr="00647BDD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P</w:t>
      </w:r>
      <w:r w:rsidR="00A33191" w:rsidRPr="00647BDD">
        <w:rPr>
          <w:rFonts w:ascii="Times New Roman" w:hAnsi="Times New Roman" w:cs="Times New Roman"/>
        </w:rPr>
        <w:t>odstawowe modele rynku kapitałowego oraz mierniki efektywności portfela</w:t>
      </w:r>
    </w:p>
    <w:p w14:paraId="708D9A49" w14:textId="48B709B5" w:rsidR="00A33191" w:rsidRPr="00647BDD" w:rsidRDefault="002A11CF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M</w:t>
      </w:r>
      <w:r w:rsidR="00A33191" w:rsidRPr="00647BDD">
        <w:rPr>
          <w:rFonts w:ascii="Times New Roman" w:hAnsi="Times New Roman" w:cs="Times New Roman"/>
        </w:rPr>
        <w:t>etod</w:t>
      </w:r>
      <w:r w:rsidRPr="00647BDD">
        <w:rPr>
          <w:rFonts w:ascii="Times New Roman" w:hAnsi="Times New Roman" w:cs="Times New Roman"/>
        </w:rPr>
        <w:t>y</w:t>
      </w:r>
      <w:r w:rsidR="00A33191" w:rsidRPr="00647BDD">
        <w:rPr>
          <w:rFonts w:ascii="Times New Roman" w:hAnsi="Times New Roman" w:cs="Times New Roman"/>
        </w:rPr>
        <w:t xml:space="preserve"> mnożnikow</w:t>
      </w:r>
      <w:r w:rsidRPr="00647BDD">
        <w:rPr>
          <w:rFonts w:ascii="Times New Roman" w:hAnsi="Times New Roman" w:cs="Times New Roman"/>
        </w:rPr>
        <w:t xml:space="preserve">e i </w:t>
      </w:r>
      <w:r w:rsidR="00A33191" w:rsidRPr="00647BDD">
        <w:rPr>
          <w:rFonts w:ascii="Times New Roman" w:hAnsi="Times New Roman" w:cs="Times New Roman"/>
        </w:rPr>
        <w:t>dochodow</w:t>
      </w:r>
      <w:r w:rsidRPr="00647BDD">
        <w:rPr>
          <w:rFonts w:ascii="Times New Roman" w:hAnsi="Times New Roman" w:cs="Times New Roman"/>
        </w:rPr>
        <w:t>e</w:t>
      </w:r>
      <w:r w:rsidR="00A33191" w:rsidRPr="00647BDD">
        <w:rPr>
          <w:rFonts w:ascii="Times New Roman" w:hAnsi="Times New Roman" w:cs="Times New Roman"/>
        </w:rPr>
        <w:t xml:space="preserve"> w wycenie spółek</w:t>
      </w:r>
    </w:p>
    <w:p w14:paraId="5A21CC28" w14:textId="4B8B3009" w:rsidR="00FD2E89" w:rsidRPr="00647BDD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Etapy zarządzania ryzykiem bankowy</w:t>
      </w:r>
      <w:r w:rsidR="00FD2E89" w:rsidRPr="00647BDD">
        <w:rPr>
          <w:rFonts w:ascii="Times New Roman" w:eastAsia="Times New Roman" w:hAnsi="Times New Roman" w:cs="Times New Roman"/>
        </w:rPr>
        <w:t>m</w:t>
      </w:r>
    </w:p>
    <w:p w14:paraId="7A6296D0" w14:textId="77777777" w:rsidR="00FD2E89" w:rsidRPr="00647BDD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Metody ograniczania ryzyka kredytowego w działalności bankowej</w:t>
      </w:r>
    </w:p>
    <w:p w14:paraId="49672198" w14:textId="77777777" w:rsidR="00FD2E89" w:rsidRPr="00647BDD" w:rsidRDefault="002313E5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 xml:space="preserve">Metoda standardowa w szacowaniu wymogu kapitałowego z tytułu ryzyka kredytowego w bankach </w:t>
      </w:r>
    </w:p>
    <w:p w14:paraId="25EFDC9D" w14:textId="77777777" w:rsidR="00FD2E89" w:rsidRPr="00647BDD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BION jako instrument oceny skali ryzyka oraz jakości procesu zarządzania ryzykiem w bankach w Polsce</w:t>
      </w:r>
    </w:p>
    <w:p w14:paraId="4DD3F834" w14:textId="77777777" w:rsidR="00FD2E89" w:rsidRPr="00647BDD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647BDD">
        <w:rPr>
          <w:rFonts w:ascii="Times New Roman" w:eastAsia="Times New Roman" w:hAnsi="Times New Roman" w:cs="Times New Roman"/>
        </w:rPr>
        <w:t>VaR</w:t>
      </w:r>
      <w:proofErr w:type="spellEnd"/>
      <w:r w:rsidRPr="00647BDD">
        <w:rPr>
          <w:rFonts w:ascii="Times New Roman" w:eastAsia="Times New Roman" w:hAnsi="Times New Roman" w:cs="Times New Roman"/>
        </w:rPr>
        <w:t xml:space="preserve"> jako metoda pomiaru ryzyka rynkowego w bankach</w:t>
      </w:r>
    </w:p>
    <w:p w14:paraId="201D697E" w14:textId="77777777" w:rsidR="00FD2E89" w:rsidRPr="00647BDD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Komponenty ryzyka operacyjnego w bankach - ujęcie regulacyjne i przykłady występujących zdarzeń</w:t>
      </w:r>
    </w:p>
    <w:p w14:paraId="7AA1BB6C" w14:textId="77777777" w:rsidR="00CA1391" w:rsidRPr="00647BDD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Ryzyko systemowe i narzędzia jego ograniczania</w:t>
      </w:r>
    </w:p>
    <w:p w14:paraId="52DCDA3F" w14:textId="38EC7934" w:rsidR="00CA1391" w:rsidRPr="00647BDD" w:rsidRDefault="00FD2E89" w:rsidP="00CA1391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Wycena instrumentów dłużnych i pochodnych w warunkach braku arbitrażu</w:t>
      </w:r>
    </w:p>
    <w:p w14:paraId="28F2C4B5" w14:textId="6B24FB08" w:rsidR="003400FD" w:rsidRPr="00647BDD" w:rsidRDefault="00647BDD" w:rsidP="003400FD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Istota</w:t>
      </w:r>
      <w:r w:rsidR="0077213F" w:rsidRPr="00647BDD">
        <w:rPr>
          <w:rFonts w:ascii="Times New Roman" w:eastAsia="Times New Roman" w:hAnsi="Times New Roman" w:cs="Times New Roman"/>
        </w:rPr>
        <w:t xml:space="preserve"> i rodzaje ataków cybernetycznych opartych na socjotechnicznych metodach manipulacj</w:t>
      </w:r>
      <w:r w:rsidR="00917DE7" w:rsidRPr="00647BDD">
        <w:rPr>
          <w:rFonts w:ascii="Times New Roman" w:eastAsia="Times New Roman" w:hAnsi="Times New Roman" w:cs="Times New Roman"/>
        </w:rPr>
        <w:t>i</w:t>
      </w:r>
    </w:p>
    <w:p w14:paraId="27CADDD6" w14:textId="4DFDD98E" w:rsidR="003400FD" w:rsidRPr="00647BDD" w:rsidRDefault="00647BDD" w:rsidP="003400FD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400FD" w:rsidRPr="00647BDD">
        <w:rPr>
          <w:rFonts w:ascii="Times New Roman" w:hAnsi="Times New Roman" w:cs="Times New Roman"/>
        </w:rPr>
        <w:t>bezpieczenie odpowiedzialności cywilnej przedsiębiorstw jako instrument zarządzania ryzykiem prawnym</w:t>
      </w:r>
    </w:p>
    <w:p w14:paraId="2CAD2718" w14:textId="77777777" w:rsidR="003400FD" w:rsidRPr="00647BDD" w:rsidRDefault="003400FD" w:rsidP="003400FD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 w:rsidRPr="00647BDD">
        <w:rPr>
          <w:rFonts w:ascii="Times New Roman" w:hAnsi="Times New Roman" w:cs="Times New Roman"/>
        </w:rPr>
        <w:t>Rola systemu emerytalnego w zarządzaniu ryzykiem długowieczności.</w:t>
      </w:r>
    </w:p>
    <w:p w14:paraId="2EB176C4" w14:textId="10556642" w:rsidR="00917DE7" w:rsidRPr="00647BDD" w:rsidRDefault="00647BDD" w:rsidP="00FA1BA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17DE7" w:rsidRPr="00647BDD">
        <w:rPr>
          <w:rFonts w:ascii="Times New Roman" w:hAnsi="Times New Roman" w:cs="Times New Roman"/>
        </w:rPr>
        <w:t xml:space="preserve">ojęcie odwróconej hipoteki i modele usług </w:t>
      </w:r>
      <w:r w:rsidR="0041019D" w:rsidRPr="00647BDD">
        <w:rPr>
          <w:rFonts w:ascii="Times New Roman" w:hAnsi="Times New Roman" w:cs="Times New Roman"/>
        </w:rPr>
        <w:t>uwolnienia kapitału</w:t>
      </w:r>
    </w:p>
    <w:p w14:paraId="54249607" w14:textId="7A231389" w:rsidR="00FA1BAB" w:rsidRPr="00647BDD" w:rsidRDefault="00FA1BAB" w:rsidP="00FA1BAB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Zasady etycznego postępowania w bankowości i finansach</w:t>
      </w:r>
    </w:p>
    <w:p w14:paraId="7CF1D333" w14:textId="7FF14A75" w:rsidR="00FA1BAB" w:rsidRPr="00647BDD" w:rsidRDefault="00112FC1" w:rsidP="00917DE7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647BDD">
        <w:rPr>
          <w:rFonts w:ascii="Times New Roman" w:eastAsia="Times New Roman" w:hAnsi="Times New Roman" w:cs="Times New Roman"/>
        </w:rPr>
        <w:t>Kodeksy etyczne i standardy etycznego postępowania CFA</w:t>
      </w:r>
    </w:p>
    <w:p w14:paraId="6FCCF56D" w14:textId="77777777" w:rsidR="00FA1BAB" w:rsidRPr="00647BDD" w:rsidRDefault="00FA1BAB" w:rsidP="00FA1B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47BDD">
        <w:rPr>
          <w:rFonts w:ascii="Times New Roman" w:eastAsia="Times New Roman" w:hAnsi="Times New Roman" w:cs="Times New Roman"/>
          <w:color w:val="000000"/>
        </w:rPr>
        <w:t>Istota, struktura i funkcje biznes planu</w:t>
      </w:r>
    </w:p>
    <w:p w14:paraId="7B1DCBD7" w14:textId="085C00C7" w:rsidR="002C1A14" w:rsidRPr="00647BDD" w:rsidRDefault="00FA1BAB" w:rsidP="00A331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647BDD">
        <w:rPr>
          <w:rFonts w:ascii="Times New Roman" w:eastAsia="Times New Roman" w:hAnsi="Times New Roman" w:cs="Times New Roman"/>
          <w:color w:val="000000"/>
        </w:rPr>
        <w:t>Projekcja ekonomiczno-finansowa w biznes planie - elementy składowe i zasady sporządzania</w:t>
      </w:r>
    </w:p>
    <w:sectPr w:rsidR="002C1A14" w:rsidRPr="0064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519F"/>
    <w:multiLevelType w:val="hybridMultilevel"/>
    <w:tmpl w:val="324C1D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470556"/>
    <w:multiLevelType w:val="multilevel"/>
    <w:tmpl w:val="C364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F23B9"/>
    <w:multiLevelType w:val="hybridMultilevel"/>
    <w:tmpl w:val="E536E15C"/>
    <w:lvl w:ilvl="0" w:tplc="2604AE6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3A5D"/>
    <w:multiLevelType w:val="hybridMultilevel"/>
    <w:tmpl w:val="AB14BE66"/>
    <w:lvl w:ilvl="0" w:tplc="11928A9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B2F"/>
    <w:multiLevelType w:val="multilevel"/>
    <w:tmpl w:val="0BE6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E165A"/>
    <w:multiLevelType w:val="multilevel"/>
    <w:tmpl w:val="545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12E1D"/>
    <w:multiLevelType w:val="hybridMultilevel"/>
    <w:tmpl w:val="11B49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F5FBF"/>
    <w:multiLevelType w:val="multilevel"/>
    <w:tmpl w:val="BD0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F512B"/>
    <w:multiLevelType w:val="multilevel"/>
    <w:tmpl w:val="412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796DCA"/>
    <w:multiLevelType w:val="hybridMultilevel"/>
    <w:tmpl w:val="4F2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D0BE9"/>
    <w:multiLevelType w:val="multilevel"/>
    <w:tmpl w:val="5494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B4358"/>
    <w:multiLevelType w:val="hybridMultilevel"/>
    <w:tmpl w:val="57D2AB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52A7EA8"/>
    <w:multiLevelType w:val="hybridMultilevel"/>
    <w:tmpl w:val="9A82E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8E4355"/>
    <w:multiLevelType w:val="multilevel"/>
    <w:tmpl w:val="9DA4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C1771C"/>
    <w:multiLevelType w:val="hybridMultilevel"/>
    <w:tmpl w:val="94F4CD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9F69A2"/>
    <w:multiLevelType w:val="hybridMultilevel"/>
    <w:tmpl w:val="91D4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3DA5"/>
    <w:multiLevelType w:val="multilevel"/>
    <w:tmpl w:val="6174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940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0613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298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7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085009">
    <w:abstractNumId w:val="9"/>
  </w:num>
  <w:num w:numId="6" w16cid:durableId="1681927610">
    <w:abstractNumId w:val="2"/>
  </w:num>
  <w:num w:numId="7" w16cid:durableId="264306747">
    <w:abstractNumId w:val="3"/>
  </w:num>
  <w:num w:numId="8" w16cid:durableId="2006205428">
    <w:abstractNumId w:val="15"/>
  </w:num>
  <w:num w:numId="9" w16cid:durableId="1272929434">
    <w:abstractNumId w:val="11"/>
  </w:num>
  <w:num w:numId="10" w16cid:durableId="1283808994">
    <w:abstractNumId w:val="13"/>
  </w:num>
  <w:num w:numId="11" w16cid:durableId="1442257387">
    <w:abstractNumId w:val="0"/>
  </w:num>
  <w:num w:numId="12" w16cid:durableId="100149526">
    <w:abstractNumId w:val="5"/>
  </w:num>
  <w:num w:numId="13" w16cid:durableId="462309246">
    <w:abstractNumId w:val="14"/>
  </w:num>
  <w:num w:numId="14" w16cid:durableId="1891266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084472">
    <w:abstractNumId w:val="12"/>
  </w:num>
  <w:num w:numId="16" w16cid:durableId="69357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430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25532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A6"/>
    <w:rsid w:val="0003389F"/>
    <w:rsid w:val="000638CE"/>
    <w:rsid w:val="001043A6"/>
    <w:rsid w:val="00112FC1"/>
    <w:rsid w:val="001A23A3"/>
    <w:rsid w:val="001A674E"/>
    <w:rsid w:val="001C13E2"/>
    <w:rsid w:val="001E2927"/>
    <w:rsid w:val="002313E5"/>
    <w:rsid w:val="002A11CF"/>
    <w:rsid w:val="002C10A4"/>
    <w:rsid w:val="002C1A14"/>
    <w:rsid w:val="002E5C61"/>
    <w:rsid w:val="003400FD"/>
    <w:rsid w:val="003D189B"/>
    <w:rsid w:val="0041019D"/>
    <w:rsid w:val="004A5905"/>
    <w:rsid w:val="004B0145"/>
    <w:rsid w:val="004C7720"/>
    <w:rsid w:val="0061695E"/>
    <w:rsid w:val="00647BDD"/>
    <w:rsid w:val="00666A7D"/>
    <w:rsid w:val="006D523A"/>
    <w:rsid w:val="006F1BA4"/>
    <w:rsid w:val="0071548A"/>
    <w:rsid w:val="0077213F"/>
    <w:rsid w:val="007A2BC6"/>
    <w:rsid w:val="007A518D"/>
    <w:rsid w:val="007D468F"/>
    <w:rsid w:val="00917DE7"/>
    <w:rsid w:val="00A33191"/>
    <w:rsid w:val="00B03184"/>
    <w:rsid w:val="00B87835"/>
    <w:rsid w:val="00BA7EDA"/>
    <w:rsid w:val="00BB7F26"/>
    <w:rsid w:val="00BF66DD"/>
    <w:rsid w:val="00C8185B"/>
    <w:rsid w:val="00CA1391"/>
    <w:rsid w:val="00F026D4"/>
    <w:rsid w:val="00F17437"/>
    <w:rsid w:val="00F9280E"/>
    <w:rsid w:val="00FA1BAB"/>
    <w:rsid w:val="00FC2D0A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D50"/>
  <w15:chartTrackingRefBased/>
  <w15:docId w15:val="{188FC060-35A8-4E03-A261-8FEDA178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3A6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elementtoproof">
    <w:name w:val="elementtoproof"/>
    <w:basedOn w:val="Normalny"/>
    <w:rsid w:val="006D52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customStyle="1" w:styleId="xmsolistparagraph">
    <w:name w:val="x_msolistparagraph"/>
    <w:basedOn w:val="Normalny"/>
    <w:rsid w:val="007A2BC6"/>
    <w:pPr>
      <w:spacing w:after="0" w:line="240" w:lineRule="auto"/>
      <w:ind w:left="720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Folwarski</dc:creator>
  <cp:keywords/>
  <dc:description/>
  <cp:lastModifiedBy>Mateusz Folwarski</cp:lastModifiedBy>
  <cp:revision>6</cp:revision>
  <dcterms:created xsi:type="dcterms:W3CDTF">2025-02-13T10:55:00Z</dcterms:created>
  <dcterms:modified xsi:type="dcterms:W3CDTF">2025-02-17T07:19:00Z</dcterms:modified>
</cp:coreProperties>
</file>