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6789" w14:textId="7107F5AC" w:rsidR="00E14E39" w:rsidRPr="00E14E39" w:rsidRDefault="00E14E39" w:rsidP="00E14E39">
      <w:pPr>
        <w:shd w:val="clear" w:color="auto" w:fill="FFFFFF"/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b/>
          <w:bCs/>
          <w:sz w:val="24"/>
          <w:szCs w:val="24"/>
        </w:rPr>
      </w:pPr>
      <w:r w:rsidRPr="00E14E39">
        <w:rPr>
          <w:b/>
          <w:bCs/>
          <w:sz w:val="24"/>
          <w:szCs w:val="24"/>
        </w:rPr>
        <w:t>Kierunek Finanse i Rachunkowość, stopień I</w:t>
      </w:r>
    </w:p>
    <w:p w14:paraId="5968C31E" w14:textId="4131A6D1" w:rsidR="00E14E39" w:rsidRPr="00E14E39" w:rsidRDefault="00E14E39" w:rsidP="00E14E39">
      <w:pPr>
        <w:shd w:val="clear" w:color="auto" w:fill="FFFFFF"/>
        <w:tabs>
          <w:tab w:val="num" w:pos="720"/>
        </w:tabs>
        <w:spacing w:before="100" w:beforeAutospacing="1" w:after="100" w:afterAutospacing="1"/>
        <w:ind w:left="720" w:hanging="360"/>
        <w:jc w:val="center"/>
        <w:rPr>
          <w:b/>
          <w:bCs/>
          <w:sz w:val="24"/>
          <w:szCs w:val="24"/>
        </w:rPr>
      </w:pPr>
      <w:r w:rsidRPr="00E14E39">
        <w:rPr>
          <w:b/>
          <w:bCs/>
          <w:sz w:val="24"/>
          <w:szCs w:val="24"/>
        </w:rPr>
        <w:t>Pytania specjalnościowe: Doradztwo biznesowe</w:t>
      </w:r>
    </w:p>
    <w:p w14:paraId="2CD986AD" w14:textId="77777777" w:rsidR="00E356C4" w:rsidRPr="00E14E39" w:rsidRDefault="00E356C4" w:rsidP="00E356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Plan operacyjny a plan strategiczny - istota, podobieństwa różnice</w:t>
      </w:r>
    </w:p>
    <w:p w14:paraId="301052D2" w14:textId="77777777" w:rsidR="00E356C4" w:rsidRPr="00E14E39" w:rsidRDefault="00E356C4" w:rsidP="00E356C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Procedura identyfikacji przewag i słabości konkurencyjnych w planowaniu biznesu</w:t>
      </w:r>
    </w:p>
    <w:p w14:paraId="50B2E18D" w14:textId="77777777" w:rsidR="00E14E39" w:rsidRPr="00E14E39" w:rsidRDefault="00E356C4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Segmentacja rynku - istota i jej znaczenie w planowaniu biznesowym</w:t>
      </w:r>
    </w:p>
    <w:p w14:paraId="4E55A2AE" w14:textId="77777777" w:rsidR="00E14E39" w:rsidRPr="00E14E39" w:rsidRDefault="00E356C4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Istota i zastosowanie kryterium NPV i IRR z biznes plani</w:t>
      </w:r>
      <w:r w:rsidR="00E14E39" w:rsidRPr="00E14E39">
        <w:rPr>
          <w:rFonts w:eastAsia="Times New Roman"/>
          <w:color w:val="000000"/>
          <w:sz w:val="24"/>
          <w:szCs w:val="24"/>
        </w:rPr>
        <w:t>e</w:t>
      </w:r>
    </w:p>
    <w:p w14:paraId="6678747A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P</w:t>
      </w:r>
      <w:r w:rsidR="003839DA" w:rsidRPr="00E14E39">
        <w:rPr>
          <w:rFonts w:eastAsia="Times New Roman"/>
          <w:color w:val="000000"/>
          <w:sz w:val="24"/>
          <w:szCs w:val="24"/>
        </w:rPr>
        <w:t xml:space="preserve">odobieństwa i </w:t>
      </w:r>
      <w:r w:rsidRPr="00E14E39">
        <w:rPr>
          <w:rFonts w:eastAsia="Times New Roman"/>
          <w:color w:val="000000"/>
          <w:sz w:val="24"/>
          <w:szCs w:val="24"/>
        </w:rPr>
        <w:t>różnice</w:t>
      </w:r>
      <w:r w:rsidR="003839DA" w:rsidRPr="00E14E39">
        <w:rPr>
          <w:rFonts w:eastAsia="Times New Roman"/>
          <w:color w:val="000000"/>
          <w:sz w:val="24"/>
          <w:szCs w:val="24"/>
        </w:rPr>
        <w:t xml:space="preserve"> kontraktów typu </w:t>
      </w:r>
      <w:proofErr w:type="spellStart"/>
      <w:r w:rsidR="003839DA" w:rsidRPr="00E14E39">
        <w:rPr>
          <w:rFonts w:eastAsia="Times New Roman"/>
          <w:color w:val="000000"/>
          <w:sz w:val="24"/>
          <w:szCs w:val="24"/>
        </w:rPr>
        <w:t>futures</w:t>
      </w:r>
      <w:proofErr w:type="spellEnd"/>
      <w:r w:rsidR="003839DA" w:rsidRPr="00E14E39">
        <w:rPr>
          <w:rFonts w:eastAsia="Times New Roman"/>
          <w:color w:val="000000"/>
          <w:sz w:val="24"/>
          <w:szCs w:val="24"/>
        </w:rPr>
        <w:t xml:space="preserve"> i </w:t>
      </w:r>
      <w:proofErr w:type="spellStart"/>
      <w:r w:rsidR="003839DA" w:rsidRPr="00E14E39">
        <w:rPr>
          <w:rFonts w:eastAsia="Times New Roman"/>
          <w:color w:val="000000"/>
          <w:sz w:val="24"/>
          <w:szCs w:val="24"/>
        </w:rPr>
        <w:t>forward</w:t>
      </w:r>
      <w:proofErr w:type="spellEnd"/>
      <w:r w:rsidR="003839DA" w:rsidRPr="00E14E39">
        <w:rPr>
          <w:rFonts w:eastAsia="Times New Roman"/>
          <w:color w:val="000000"/>
          <w:sz w:val="24"/>
          <w:szCs w:val="24"/>
        </w:rPr>
        <w:t>.</w:t>
      </w:r>
    </w:p>
    <w:p w14:paraId="5CEE5ED0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Scharakteryzuj kontrakt</w:t>
      </w:r>
      <w:r w:rsidR="003839DA" w:rsidRPr="00E14E3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3839DA" w:rsidRPr="00E14E39">
        <w:rPr>
          <w:rFonts w:eastAsia="Times New Roman"/>
          <w:color w:val="000000"/>
          <w:sz w:val="24"/>
          <w:szCs w:val="24"/>
        </w:rPr>
        <w:t>opcyjny</w:t>
      </w:r>
      <w:proofErr w:type="spellEnd"/>
      <w:r w:rsidR="003839DA" w:rsidRPr="00E14E39">
        <w:rPr>
          <w:rFonts w:eastAsia="Times New Roman"/>
          <w:color w:val="000000"/>
          <w:sz w:val="24"/>
          <w:szCs w:val="24"/>
        </w:rPr>
        <w:t xml:space="preserve"> i wymie</w:t>
      </w:r>
      <w:r w:rsidRPr="00E14E39">
        <w:rPr>
          <w:rFonts w:eastAsia="Times New Roman"/>
          <w:color w:val="000000"/>
          <w:sz w:val="24"/>
          <w:szCs w:val="24"/>
        </w:rPr>
        <w:t>ń</w:t>
      </w:r>
      <w:r w:rsidR="003839DA" w:rsidRPr="00E14E39">
        <w:rPr>
          <w:rFonts w:eastAsia="Times New Roman"/>
          <w:color w:val="000000"/>
          <w:sz w:val="24"/>
          <w:szCs w:val="24"/>
        </w:rPr>
        <w:t xml:space="preserve"> kilka wybranych strategii </w:t>
      </w:r>
      <w:proofErr w:type="spellStart"/>
      <w:r w:rsidR="003839DA" w:rsidRPr="00E14E39">
        <w:rPr>
          <w:rFonts w:eastAsia="Times New Roman"/>
          <w:color w:val="000000"/>
          <w:sz w:val="24"/>
          <w:szCs w:val="24"/>
        </w:rPr>
        <w:t>opcyjnych</w:t>
      </w:r>
      <w:proofErr w:type="spellEnd"/>
    </w:p>
    <w:p w14:paraId="4E76A20A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Zdefiniuj</w:t>
      </w:r>
      <w:r w:rsidR="003839DA" w:rsidRPr="00E14E39">
        <w:rPr>
          <w:rFonts w:eastAsia="Times New Roman"/>
          <w:color w:val="000000"/>
          <w:sz w:val="24"/>
          <w:szCs w:val="24"/>
        </w:rPr>
        <w:t xml:space="preserve"> termin "czas trwania" dla obligacji i poda</w:t>
      </w:r>
      <w:r w:rsidRPr="00E14E39">
        <w:rPr>
          <w:rFonts w:eastAsia="Times New Roman"/>
          <w:color w:val="000000"/>
          <w:sz w:val="24"/>
          <w:szCs w:val="24"/>
        </w:rPr>
        <w:t>j</w:t>
      </w:r>
      <w:r w:rsidR="003839DA" w:rsidRPr="00E14E39">
        <w:rPr>
          <w:rFonts w:eastAsia="Times New Roman"/>
          <w:color w:val="000000"/>
          <w:sz w:val="24"/>
          <w:szCs w:val="24"/>
        </w:rPr>
        <w:t xml:space="preserve"> jego dwie interpretacje</w:t>
      </w:r>
    </w:p>
    <w:p w14:paraId="1F309BCC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Omów</w:t>
      </w:r>
      <w:r w:rsidR="003839DA" w:rsidRPr="00E14E39">
        <w:rPr>
          <w:rFonts w:eastAsia="Times New Roman"/>
          <w:color w:val="000000"/>
          <w:sz w:val="24"/>
          <w:szCs w:val="24"/>
        </w:rPr>
        <w:t xml:space="preserve"> definicje </w:t>
      </w:r>
      <w:r w:rsidRPr="00E14E39">
        <w:rPr>
          <w:rFonts w:eastAsia="Times New Roman"/>
          <w:color w:val="000000"/>
          <w:sz w:val="24"/>
          <w:szCs w:val="24"/>
        </w:rPr>
        <w:t>zjawiska</w:t>
      </w:r>
      <w:r w:rsidR="003839DA" w:rsidRPr="00E14E39">
        <w:rPr>
          <w:rFonts w:eastAsia="Times New Roman"/>
          <w:color w:val="000000"/>
          <w:sz w:val="24"/>
          <w:szCs w:val="24"/>
        </w:rPr>
        <w:t xml:space="preserve"> ryzyka i niepewności. Poda</w:t>
      </w:r>
      <w:r w:rsidRPr="00E14E39">
        <w:rPr>
          <w:rFonts w:eastAsia="Times New Roman"/>
          <w:color w:val="000000"/>
          <w:sz w:val="24"/>
          <w:szCs w:val="24"/>
        </w:rPr>
        <w:t>j</w:t>
      </w:r>
      <w:r w:rsidR="003839DA" w:rsidRPr="00E14E39">
        <w:rPr>
          <w:rFonts w:eastAsia="Times New Roman"/>
          <w:color w:val="000000"/>
          <w:sz w:val="24"/>
          <w:szCs w:val="24"/>
        </w:rPr>
        <w:t xml:space="preserve"> i omów</w:t>
      </w:r>
      <w:r w:rsidRPr="00E14E39">
        <w:rPr>
          <w:rFonts w:eastAsia="Times New Roman"/>
          <w:color w:val="000000"/>
          <w:sz w:val="24"/>
          <w:szCs w:val="24"/>
        </w:rPr>
        <w:t xml:space="preserve"> </w:t>
      </w:r>
      <w:r w:rsidR="003839DA" w:rsidRPr="00E14E39">
        <w:rPr>
          <w:rFonts w:eastAsia="Times New Roman"/>
          <w:color w:val="000000"/>
          <w:sz w:val="24"/>
          <w:szCs w:val="24"/>
        </w:rPr>
        <w:t xml:space="preserve">metody podejmowania decyzji w sytuacji </w:t>
      </w:r>
      <w:r w:rsidRPr="00E14E39">
        <w:rPr>
          <w:rFonts w:eastAsia="Times New Roman"/>
          <w:color w:val="000000"/>
          <w:sz w:val="24"/>
          <w:szCs w:val="24"/>
        </w:rPr>
        <w:t>niepewności</w:t>
      </w:r>
      <w:r w:rsidR="003839DA" w:rsidRPr="00E14E39">
        <w:rPr>
          <w:rFonts w:eastAsia="Times New Roman"/>
          <w:color w:val="000000"/>
          <w:sz w:val="24"/>
          <w:szCs w:val="24"/>
        </w:rPr>
        <w:t>.</w:t>
      </w:r>
      <w:r w:rsidRPr="00E14E39">
        <w:rPr>
          <w:rFonts w:eastAsia="Times New Roman"/>
          <w:color w:val="000000"/>
          <w:sz w:val="24"/>
          <w:szCs w:val="24"/>
        </w:rPr>
        <w:t xml:space="preserve"> </w:t>
      </w:r>
    </w:p>
    <w:p w14:paraId="04E71E7C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Standardy wartości przedsiębiorstwa</w:t>
      </w:r>
    </w:p>
    <w:p w14:paraId="396321DF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Determinanty szacunku wartości przedsiębiorstwa</w:t>
      </w:r>
    </w:p>
    <w:p w14:paraId="6E4F4C21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Majątkowe metody wyceny wartości przedsiębiorstwa. Zasady postepowania. Zalety. Wady</w:t>
      </w:r>
    </w:p>
    <w:p w14:paraId="3D04E79A" w14:textId="6AC04CCD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Dochodowe metody wyceny wartości przedsiębiorstwa. Zasady postepowania. Zalety. Wady</w:t>
      </w:r>
    </w:p>
    <w:p w14:paraId="75D3D678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Omów specyfikę funduszy Private equity/Venture capital </w:t>
      </w:r>
    </w:p>
    <w:p w14:paraId="5AD7A5DD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Omów podstawowe metody szacowania wartości nieruchomości </w:t>
      </w:r>
    </w:p>
    <w:p w14:paraId="1E02FB42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Omów wybrane taktyki ofertowe stosowane w transakcjach M&amp;A </w:t>
      </w:r>
    </w:p>
    <w:p w14:paraId="736DE2FF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 xml:space="preserve">Omów wybrane taktyki stosowane w ramach </w:t>
      </w:r>
      <w:proofErr w:type="spellStart"/>
      <w:r w:rsidRPr="00E14E39">
        <w:rPr>
          <w:rFonts w:eastAsia="Times New Roman"/>
          <w:color w:val="000000"/>
          <w:sz w:val="24"/>
          <w:szCs w:val="24"/>
        </w:rPr>
        <w:t>raid</w:t>
      </w:r>
      <w:proofErr w:type="spellEnd"/>
      <w:r w:rsidRPr="00E14E3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E14E39">
        <w:rPr>
          <w:rFonts w:eastAsia="Times New Roman"/>
          <w:color w:val="000000"/>
          <w:sz w:val="24"/>
          <w:szCs w:val="24"/>
        </w:rPr>
        <w:t>defense</w:t>
      </w:r>
      <w:proofErr w:type="spellEnd"/>
      <w:r w:rsidRPr="00E14E39">
        <w:rPr>
          <w:rFonts w:eastAsia="Times New Roman"/>
          <w:color w:val="000000"/>
          <w:sz w:val="24"/>
          <w:szCs w:val="24"/>
        </w:rPr>
        <w:t> </w:t>
      </w:r>
    </w:p>
    <w:p w14:paraId="687EA669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Omów proces zarządzania ryzykiem w przedsiębiorstwie z perspektywy normy ISO 31000</w:t>
      </w:r>
    </w:p>
    <w:p w14:paraId="5DC306AD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Scharakteryzuj podstawowe miary efektywności i ryzyka inwestycji</w:t>
      </w:r>
    </w:p>
    <w:p w14:paraId="1DE3F058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Scharakteryzuj ubezpieczenie utraty zysku i wyjaśnij, jaka jest rola tego ubezpieczenia w zapewnieniu płynności przedsiębiorstwa.</w:t>
      </w:r>
    </w:p>
    <w:p w14:paraId="4C881D1C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Wymień i opisz zasady przetwarzania danych osobowych zawarte w RODO.</w:t>
      </w:r>
    </w:p>
    <w:p w14:paraId="19CA8128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Teoria perspektywy jako deskryptywne podejście do podejmowania decyzji obarczonych ryzykiem</w:t>
      </w:r>
    </w:p>
    <w:p w14:paraId="08C9A770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Koncepcja ograniczonej racjonalności (</w:t>
      </w:r>
      <w:proofErr w:type="spellStart"/>
      <w:r w:rsidRPr="00E14E39">
        <w:rPr>
          <w:rFonts w:eastAsia="Times New Roman"/>
          <w:color w:val="000000"/>
          <w:sz w:val="24"/>
          <w:szCs w:val="24"/>
        </w:rPr>
        <w:t>bounded</w:t>
      </w:r>
      <w:proofErr w:type="spellEnd"/>
      <w:r w:rsidRPr="00E14E39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E14E39">
        <w:rPr>
          <w:rFonts w:eastAsia="Times New Roman"/>
          <w:color w:val="000000"/>
          <w:sz w:val="24"/>
          <w:szCs w:val="24"/>
        </w:rPr>
        <w:t>rationality</w:t>
      </w:r>
      <w:proofErr w:type="spellEnd"/>
      <w:r w:rsidRPr="00E14E39">
        <w:rPr>
          <w:rFonts w:eastAsia="Times New Roman"/>
          <w:color w:val="000000"/>
          <w:sz w:val="24"/>
          <w:szCs w:val="24"/>
        </w:rPr>
        <w:t>)</w:t>
      </w:r>
    </w:p>
    <w:p w14:paraId="3B29273D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Inklinacje behawioralne związane z podejmowaniem decyzji ekonomicznych</w:t>
      </w:r>
    </w:p>
    <w:p w14:paraId="34D327CD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Wpływ punktu odniesienia na decyzje ekonomiczne</w:t>
      </w:r>
    </w:p>
    <w:p w14:paraId="22F8A3B7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sz w:val="24"/>
          <w:szCs w:val="24"/>
        </w:rPr>
        <w:t>Pierwotne i wtórne źródła informacji</w:t>
      </w:r>
    </w:p>
    <w:p w14:paraId="37AD72FB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Ankiety - rodzaje, zasady i etapy budowy.</w:t>
      </w:r>
    </w:p>
    <w:p w14:paraId="1420D650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Cechy, funkcje i organizacja badań marketingowych.</w:t>
      </w:r>
    </w:p>
    <w:p w14:paraId="4ACA6758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sz w:val="24"/>
          <w:szCs w:val="24"/>
        </w:rPr>
        <w:t>Etapy projektowania badania marketingowego.</w:t>
      </w:r>
    </w:p>
    <w:p w14:paraId="218A57C5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Determinanty wyboru formy organizacyjno-prawnej prowadzenia działalności gospodarczej.</w:t>
      </w:r>
    </w:p>
    <w:p w14:paraId="5355F456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Rola kapitału społecznego w procesie zakładania i prowadzenia działalności gospodarczej.</w:t>
      </w:r>
    </w:p>
    <w:p w14:paraId="238B63EE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Kryteria wyboru formy opodatkowania jednoosobowej działalności gospodarczej.</w:t>
      </w:r>
    </w:p>
    <w:p w14:paraId="35856F63" w14:textId="77777777" w:rsidR="00E14E39" w:rsidRPr="00E14E39" w:rsidRDefault="00E14E39" w:rsidP="00E14E3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Wpływ czwartej rewolucji przemysłowej na funkcjonowanie przedsiębiorstw.</w:t>
      </w:r>
    </w:p>
    <w:p w14:paraId="2C61977E" w14:textId="33524CD0" w:rsidR="00656CE6" w:rsidRPr="00E14E39" w:rsidRDefault="003839DA" w:rsidP="00F9750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14E39">
        <w:rPr>
          <w:rFonts w:eastAsia="Times New Roman"/>
          <w:color w:val="000000"/>
          <w:sz w:val="24"/>
          <w:szCs w:val="24"/>
        </w:rPr>
        <w:t>Rol</w:t>
      </w:r>
      <w:r w:rsidR="00E14E39" w:rsidRPr="00E14E39">
        <w:rPr>
          <w:rFonts w:eastAsia="Times New Roman"/>
          <w:color w:val="000000"/>
          <w:sz w:val="24"/>
          <w:szCs w:val="24"/>
        </w:rPr>
        <w:t>a</w:t>
      </w:r>
      <w:r w:rsidRPr="00E14E39">
        <w:rPr>
          <w:rFonts w:eastAsia="Times New Roman"/>
          <w:color w:val="000000"/>
          <w:sz w:val="24"/>
          <w:szCs w:val="24"/>
        </w:rPr>
        <w:t xml:space="preserve"> i znaczenia dywidendy dla spółek giełdowych i ich akcjonariuszy </w:t>
      </w:r>
    </w:p>
    <w:sectPr w:rsidR="00656CE6" w:rsidRPr="00E14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1AC1"/>
    <w:multiLevelType w:val="multilevel"/>
    <w:tmpl w:val="40C4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A0288"/>
    <w:multiLevelType w:val="hybridMultilevel"/>
    <w:tmpl w:val="79704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385E"/>
    <w:multiLevelType w:val="multilevel"/>
    <w:tmpl w:val="3BE67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35F71"/>
    <w:multiLevelType w:val="multilevel"/>
    <w:tmpl w:val="BDD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6B362C"/>
    <w:multiLevelType w:val="multilevel"/>
    <w:tmpl w:val="DC04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694585"/>
    <w:multiLevelType w:val="multilevel"/>
    <w:tmpl w:val="6E5A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981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5096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3584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999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851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4754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C4"/>
    <w:rsid w:val="00024868"/>
    <w:rsid w:val="003839DA"/>
    <w:rsid w:val="004A26A3"/>
    <w:rsid w:val="00656CE6"/>
    <w:rsid w:val="00E14E39"/>
    <w:rsid w:val="00E356C4"/>
    <w:rsid w:val="00F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FF41"/>
  <w15:chartTrackingRefBased/>
  <w15:docId w15:val="{AB0A7633-1804-4FFC-91CB-331F63BE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C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lementtoproof">
    <w:name w:val="elementtoproof"/>
    <w:basedOn w:val="Normalny"/>
    <w:rsid w:val="003839DA"/>
    <w:pPr>
      <w:spacing w:before="100" w:beforeAutospacing="1" w:after="100" w:afterAutospacing="1"/>
    </w:pPr>
  </w:style>
  <w:style w:type="character" w:customStyle="1" w:styleId="contentpasted0">
    <w:name w:val="contentpasted0"/>
    <w:basedOn w:val="Domylnaczcionkaakapitu"/>
    <w:rsid w:val="004A26A3"/>
  </w:style>
  <w:style w:type="paragraph" w:styleId="Akapitzlist">
    <w:name w:val="List Paragraph"/>
    <w:basedOn w:val="Normalny"/>
    <w:uiPriority w:val="34"/>
    <w:qFormat/>
    <w:rsid w:val="00F9750F"/>
    <w:pPr>
      <w:ind w:left="720"/>
      <w:contextualSpacing/>
    </w:pPr>
  </w:style>
  <w:style w:type="paragraph" w:customStyle="1" w:styleId="contentpasted01">
    <w:name w:val="contentpasted01"/>
    <w:basedOn w:val="Normalny"/>
    <w:rsid w:val="00656CE6"/>
    <w:pPr>
      <w:spacing w:before="100" w:beforeAutospacing="1" w:after="100" w:afterAutospacing="1"/>
    </w:pPr>
  </w:style>
  <w:style w:type="character" w:customStyle="1" w:styleId="contentpasted1">
    <w:name w:val="contentpasted1"/>
    <w:basedOn w:val="Domylnaczcionkaakapitu"/>
    <w:rsid w:val="00656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2018</Characters>
  <Application>Microsoft Office Word</Application>
  <DocSecurity>0</DocSecurity>
  <Lines>16</Lines>
  <Paragraphs>4</Paragraphs>
  <ScaleCrop>false</ScaleCrop>
  <Company>Uniwersytet Ekonomiczny w Krakowie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Folwarski</dc:creator>
  <cp:keywords/>
  <dc:description/>
  <cp:lastModifiedBy>Mateusz Folwarski</cp:lastModifiedBy>
  <cp:revision>10</cp:revision>
  <dcterms:created xsi:type="dcterms:W3CDTF">2023-02-16T13:44:00Z</dcterms:created>
  <dcterms:modified xsi:type="dcterms:W3CDTF">2023-02-23T07:41:00Z</dcterms:modified>
</cp:coreProperties>
</file>